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78E2" w:rsidRP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15.03.04 </w:t>
      </w:r>
      <w:r w:rsid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278E2" w:rsidRP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втоматизация технологических процессов и производств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7C3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78E2" w:rsidRP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 и производств нефтегазового комплекса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78E2" w:rsidRP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ОПК-2: </w:t>
      </w:r>
      <w:r w:rsid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278E2" w:rsidRP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7C30D0" w:rsidRDefault="00DC7C7E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30D0" w:rsidRPr="007C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</w:t>
      </w:r>
      <w:r w:rsid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7C30D0" w:rsidRPr="007C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278E2" w:rsidRPr="0022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 средства и системы автоматизации и управления процессами с применением электротехнических устройств, способен моделировать электротехнологические процессы производств.</w:t>
      </w:r>
    </w:p>
    <w:p w:rsidR="00DC7C7E" w:rsidRDefault="00DC7C7E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7C30D0" w:rsidRPr="00DC7C7E" w:rsidRDefault="007C30D0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lastRenderedPageBreak/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lastRenderedPageBreak/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lastRenderedPageBreak/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36.9pt" o:ole="">
            <v:imagedata r:id="rId14" o:title=""/>
          </v:shape>
          <o:OLEObject Type="Embed" ProgID="Visio.Drawing.11" ShapeID="_x0000_i1025" DrawAspect="Content" ObjectID="_1755329430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75pt;height:129.8pt" o:ole="">
            <v:imagedata r:id="rId16" o:title=""/>
          </v:shape>
          <o:OLEObject Type="Embed" ProgID="Visio.Drawing.11" ShapeID="_x0000_i1026" DrawAspect="Content" ObjectID="_1755329431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9pt;height:121.1pt" o:ole="">
            <v:imagedata r:id="rId18" o:title=""/>
          </v:shape>
          <o:OLEObject Type="Embed" ProgID="Visio.Drawing.11" ShapeID="_x0000_i1027" DrawAspect="Content" ObjectID="_1755329432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278E2" w:rsidP="00227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E2">
              <w:rPr>
                <w:rFonts w:ascii="Times New Roman" w:eastAsia="Calibri" w:hAnsi="Times New Roman" w:cs="Times New Roman"/>
                <w:sz w:val="24"/>
                <w:szCs w:val="24"/>
              </w:rPr>
              <w:t>15.03.04 Автоматизация технолог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ических процессов и производств</w:t>
            </w:r>
            <w:bookmarkStart w:id="0" w:name="_GoBack"/>
            <w:bookmarkEnd w:id="0"/>
            <w:r w:rsidRPr="0022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278E2" w:rsidP="007C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E2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технологических процессов и производств нефтегазового комплекса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278E2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E2">
              <w:rPr>
                <w:rFonts w:ascii="Times New Roman" w:eastAsia="Calibri" w:hAnsi="Times New Roman" w:cs="Times New Roman"/>
                <w:sz w:val="24"/>
                <w:szCs w:val="24"/>
              </w:rPr>
              <w:t>ОПК-2: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278E2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E2">
              <w:rPr>
                <w:rFonts w:ascii="Times New Roman" w:eastAsia="Calibri" w:hAnsi="Times New Roman" w:cs="Times New Roman"/>
                <w:sz w:val="24"/>
                <w:szCs w:val="24"/>
              </w:rPr>
              <w:t>ОПК-2.1: Знает  средства и системы автоматизации и управления процессами с применением электротехнических устройств, способен моделировать электротехнологические процессы производств.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2pt" o:ole="" o:allowoverlap="f">
                  <v:imagedata r:id="rId20" o:title=""/>
                </v:shape>
                <o:OLEObject Type="Embed" ProgID="Equation.3" ShapeID="_x0000_i1028" DrawAspect="Content" ObjectID="_1755329433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55pt;height:35.45pt" o:ole="" o:allowoverlap="f">
                  <v:imagedata r:id="rId22" o:title=""/>
                </v:shape>
                <o:OLEObject Type="Embed" ProgID="Equation.3" ShapeID="_x0000_i1029" DrawAspect="Content" ObjectID="_1755329434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1pt;height:40.35pt" o:ole="" o:allowoverlap="f">
                  <v:imagedata r:id="rId24" o:title=""/>
                </v:shape>
                <o:OLEObject Type="Embed" ProgID="Equation.3" ShapeID="_x0000_i1030" DrawAspect="Content" ObjectID="_1755329435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BF08DE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BF08DE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BF08DE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BF08DE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9pt;height:118.9pt" o:ole="">
                  <v:imagedata r:id="rId26" o:title=""/>
                </v:shape>
                <o:OLEObject Type="Embed" ProgID="Visio.Drawing.11" ShapeID="_x0000_i1031" DrawAspect="Content" ObjectID="_1755329436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BF08DE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29437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DE" w:rsidRDefault="00BF08DE" w:rsidP="0083440E">
      <w:pPr>
        <w:spacing w:after="0" w:line="240" w:lineRule="auto"/>
      </w:pPr>
      <w:r>
        <w:separator/>
      </w:r>
    </w:p>
  </w:endnote>
  <w:endnote w:type="continuationSeparator" w:id="0">
    <w:p w:rsidR="00BF08DE" w:rsidRDefault="00BF08DE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DE" w:rsidRDefault="00BF08DE" w:rsidP="0083440E">
      <w:pPr>
        <w:spacing w:after="0" w:line="240" w:lineRule="auto"/>
      </w:pPr>
      <w:r>
        <w:separator/>
      </w:r>
    </w:p>
  </w:footnote>
  <w:footnote w:type="continuationSeparator" w:id="0">
    <w:p w:rsidR="00BF08DE" w:rsidRDefault="00BF08DE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1410F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278E2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03B3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30D0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BF08DE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14E7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A309D2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188A-EADF-4866-92FB-86ADAAC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11</cp:revision>
  <cp:lastPrinted>2023-05-15T08:01:00Z</cp:lastPrinted>
  <dcterms:created xsi:type="dcterms:W3CDTF">2023-09-03T23:38:00Z</dcterms:created>
  <dcterms:modified xsi:type="dcterms:W3CDTF">2023-09-04T07:44:00Z</dcterms:modified>
</cp:coreProperties>
</file>